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3C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E36C0A" w:themeColor="accent6" w:themeShade="BF"/>
          <w:sz w:val="40"/>
          <w:szCs w:val="24"/>
        </w:rPr>
      </w:pPr>
      <w:bookmarkStart w:id="0" w:name="_GoBack"/>
      <w:bookmarkEnd w:id="0"/>
    </w:p>
    <w:p w:rsidR="00EC613C" w:rsidRPr="00EC613C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E36C0A" w:themeColor="accent6" w:themeShade="BF"/>
          <w:sz w:val="40"/>
          <w:szCs w:val="24"/>
        </w:rPr>
      </w:pPr>
      <w:r w:rsidRPr="00EC613C">
        <w:rPr>
          <w:rFonts w:ascii="Arial Narrow" w:hAnsi="Arial Narrow" w:cs="Times New Roman"/>
          <w:b/>
          <w:bCs/>
          <w:color w:val="E36C0A" w:themeColor="accent6" w:themeShade="BF"/>
          <w:sz w:val="40"/>
          <w:szCs w:val="24"/>
        </w:rPr>
        <w:t>CALENDARIO DE EVALUACIONES 2016</w:t>
      </w:r>
    </w:p>
    <w:p w:rsidR="00EC613C" w:rsidRPr="00EC613C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E36C0A" w:themeColor="accent6" w:themeShade="BF"/>
          <w:sz w:val="28"/>
          <w:szCs w:val="24"/>
        </w:rPr>
      </w:pPr>
    </w:p>
    <w:p w:rsidR="00EC613C" w:rsidRPr="000131A6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14"/>
          <w:szCs w:val="24"/>
        </w:rPr>
      </w:pPr>
    </w:p>
    <w:p w:rsidR="00EC613C" w:rsidRDefault="00EC613C" w:rsidP="00EC61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Este calendario de evaluaciones 2016 se encuentra establecido en el Periódico Oficial del Estado, No. 14, del 18 de Marzo 2016, Sección II, </w:t>
      </w:r>
      <w:r w:rsidR="002E1634">
        <w:rPr>
          <w:rFonts w:ascii="Arial Narrow" w:hAnsi="Arial Narrow" w:cs="Times New Roman"/>
          <w:sz w:val="24"/>
          <w:szCs w:val="24"/>
        </w:rPr>
        <w:t xml:space="preserve">dentro del Programa Anual de Evaluación (PAE), donde </w:t>
      </w:r>
      <w:r>
        <w:rPr>
          <w:rFonts w:ascii="Arial Narrow" w:hAnsi="Arial Narrow" w:cs="Times New Roman"/>
          <w:sz w:val="24"/>
          <w:szCs w:val="24"/>
        </w:rPr>
        <w:t xml:space="preserve">se </w:t>
      </w:r>
      <w:r w:rsidR="002C404F">
        <w:rPr>
          <w:rFonts w:ascii="Arial Narrow" w:hAnsi="Arial Narrow" w:cs="Times New Roman"/>
          <w:sz w:val="24"/>
          <w:szCs w:val="24"/>
        </w:rPr>
        <w:t>menciona</w:t>
      </w:r>
      <w:r>
        <w:rPr>
          <w:rFonts w:ascii="Arial Narrow" w:hAnsi="Arial Narrow" w:cs="Times New Roman"/>
          <w:sz w:val="24"/>
          <w:szCs w:val="24"/>
        </w:rPr>
        <w:t xml:space="preserve"> como sigue:</w:t>
      </w:r>
    </w:p>
    <w:p w:rsidR="00EC613C" w:rsidRPr="00EC613C" w:rsidRDefault="00EC613C" w:rsidP="00EC61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613C" w:rsidRPr="000131A6" w:rsidRDefault="00EC613C" w:rsidP="00EC61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C613C" w:rsidRPr="000131A6" w:rsidTr="00EC613C">
        <w:tc>
          <w:tcPr>
            <w:tcW w:w="2547" w:type="dxa"/>
            <w:shd w:val="clear" w:color="auto" w:fill="17365D" w:themeFill="text2" w:themeFillShade="BF"/>
            <w:vAlign w:val="center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Publicación del PAE.</w:t>
            </w:r>
          </w:p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Definición de los Términos de Referencia.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  <w:vAlign w:val="center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Mayo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Proceso de contratación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Mayo - Septiembre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Proceso de elaboración de evaluaciones.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Integración de los aspectos susceptibles de mejoras por parte del Departamento de Evaluación del Desempeño de la Secretaría.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Cs w:val="24"/>
              </w:rPr>
            </w:pPr>
            <w:r w:rsidRPr="000131A6">
              <w:rPr>
                <w:rFonts w:ascii="Arial Narrow" w:hAnsi="Arial Narrow" w:cs="Times New Roman"/>
                <w:szCs w:val="24"/>
              </w:rPr>
              <w:t>Notificación de lo anterior al Departamento de Programación y Evaluación del Gasto Público de la Secretaría.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Octubre - Noviembre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Cs w:val="24"/>
              </w:rPr>
            </w:pPr>
            <w:r w:rsidRPr="000131A6">
              <w:rPr>
                <w:rFonts w:ascii="Arial Narrow" w:eastAsia="Times New Roman" w:hAnsi="Arial Narrow" w:cs="Times New Roman"/>
                <w:szCs w:val="24"/>
              </w:rPr>
              <w:t>Análisis y viabilidad para la inclusión a los programas y presupuestos del ejercicio fiscal 2017.</w:t>
            </w:r>
          </w:p>
        </w:tc>
      </w:tr>
      <w:tr w:rsidR="00EC613C" w:rsidRPr="000131A6" w:rsidTr="00EC613C">
        <w:tc>
          <w:tcPr>
            <w:tcW w:w="2547" w:type="dxa"/>
            <w:shd w:val="clear" w:color="auto" w:fill="17365D" w:themeFill="text2" w:themeFillShade="BF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31A6">
              <w:rPr>
                <w:rFonts w:ascii="Arial Narrow" w:hAnsi="Arial Narrow" w:cs="Times New Roman"/>
                <w:b/>
                <w:sz w:val="24"/>
                <w:szCs w:val="24"/>
              </w:rPr>
              <w:t>Noviembre – Diciembre</w:t>
            </w:r>
          </w:p>
        </w:tc>
        <w:tc>
          <w:tcPr>
            <w:tcW w:w="6281" w:type="dxa"/>
          </w:tcPr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  <w:r w:rsidRPr="000131A6">
              <w:rPr>
                <w:rFonts w:ascii="Arial Narrow" w:eastAsia="Times New Roman" w:hAnsi="Arial Narrow" w:cs="Times New Roman"/>
                <w:szCs w:val="24"/>
              </w:rPr>
              <w:t>Actualización del Programa Anual de Evaluación</w:t>
            </w:r>
          </w:p>
        </w:tc>
      </w:tr>
    </w:tbl>
    <w:p w:rsidR="00EC613C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4"/>
        </w:rPr>
      </w:pPr>
    </w:p>
    <w:p w:rsidR="00EC613C" w:rsidRPr="00EC613C" w:rsidRDefault="00EC613C" w:rsidP="00EC6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E36C0A" w:themeColor="accent6" w:themeShade="BF"/>
          <w:sz w:val="28"/>
          <w:szCs w:val="24"/>
        </w:rPr>
      </w:pPr>
      <w:r w:rsidRPr="00EC613C">
        <w:rPr>
          <w:rFonts w:ascii="Arial Narrow" w:hAnsi="Arial Narrow" w:cs="Times New Roman"/>
          <w:b/>
          <w:bCs/>
          <w:color w:val="E36C0A" w:themeColor="accent6" w:themeShade="BF"/>
          <w:sz w:val="28"/>
          <w:szCs w:val="24"/>
        </w:rPr>
        <w:t>EVALUACIONES A REALIZAR</w:t>
      </w:r>
    </w:p>
    <w:p w:rsidR="00EC613C" w:rsidRPr="000131A6" w:rsidRDefault="00EC613C" w:rsidP="00EC61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C613C" w:rsidRPr="000131A6" w:rsidTr="00213917">
        <w:tc>
          <w:tcPr>
            <w:tcW w:w="8784" w:type="dxa"/>
          </w:tcPr>
          <w:p w:rsidR="00EC613C" w:rsidRPr="00EC613C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17365D" w:themeColor="text2" w:themeShade="BF"/>
                <w:sz w:val="17"/>
                <w:szCs w:val="17"/>
              </w:rPr>
            </w:pPr>
            <w:r w:rsidRPr="00EC613C">
              <w:rPr>
                <w:rFonts w:ascii="Arial Narrow" w:hAnsi="Arial Narrow" w:cs="Times New Roman"/>
                <w:b/>
                <w:color w:val="17365D" w:themeColor="text2" w:themeShade="BF"/>
                <w:sz w:val="17"/>
                <w:szCs w:val="17"/>
              </w:rPr>
              <w:t xml:space="preserve">Evaluación de Programas Estatales </w:t>
            </w:r>
          </w:p>
          <w:p w:rsidR="00EC613C" w:rsidRPr="00B01672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Evaluación Específica de Desempeño del Programa De la Mano Contigo.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Evaluación Específica de Desempeño del Programa Estancias Infantiles.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Evaluación Específica de Desempeño del Programa Tarjeta de Transporte Joven BC.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Evaluación Específica de Desempeño del Programa Desarrollo y Financiamiento de la Micro, Pequeña y Mediana Empresa.</w:t>
            </w:r>
          </w:p>
          <w:p w:rsidR="00EC613C" w:rsidRPr="00B01672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</w:p>
          <w:p w:rsidR="00EC613C" w:rsidRPr="00EC613C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color w:val="17365D" w:themeColor="text2" w:themeShade="BF"/>
                <w:sz w:val="17"/>
                <w:szCs w:val="17"/>
              </w:rPr>
            </w:pPr>
            <w:r w:rsidRPr="00EC613C">
              <w:rPr>
                <w:rFonts w:ascii="Arial Narrow" w:hAnsi="Arial Narrow" w:cs="Times New Roman"/>
                <w:b/>
                <w:color w:val="17365D" w:themeColor="text2" w:themeShade="BF"/>
                <w:sz w:val="17"/>
                <w:szCs w:val="17"/>
              </w:rPr>
              <w:t>Evaluación de Recursos y Programas Federales:</w:t>
            </w:r>
          </w:p>
          <w:p w:rsidR="00EC613C" w:rsidRPr="00B01672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Evaluación Específica de Desempeño:</w:t>
            </w:r>
          </w:p>
          <w:p w:rsidR="00EC613C" w:rsidRPr="00B01672" w:rsidRDefault="00EC613C" w:rsidP="00213917">
            <w:pPr>
              <w:jc w:val="both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Múltiples (FAM).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Infraestructura Deportiva (FIDE).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Cultura  Ramo 23.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para el Fortalecimiento de las Entidades Federativas (FAFEF).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de Nómina Educativa y Gasto Operativo (FONE).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para la Educación Tecnológica y de Adultos (FAETA).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para la Seguridad Pública (FASP).</w:t>
            </w:r>
          </w:p>
          <w:p w:rsidR="00EC613C" w:rsidRPr="00B01672" w:rsidRDefault="00EC613C" w:rsidP="00EC613C">
            <w:pPr>
              <w:pStyle w:val="NormalWeb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 Narrow" w:eastAsiaTheme="minorEastAsia" w:hAnsi="Arial Narrow"/>
                <w:sz w:val="17"/>
                <w:szCs w:val="17"/>
              </w:rPr>
            </w:pPr>
            <w:r w:rsidRPr="00B01672">
              <w:rPr>
                <w:rFonts w:ascii="Arial Narrow" w:eastAsiaTheme="minorEastAsia" w:hAnsi="Arial Narrow"/>
                <w:sz w:val="17"/>
                <w:szCs w:val="17"/>
              </w:rPr>
              <w:t>Subsidio a las Entidades Federativas para el Fortalecimiento de sus Instituciones de Seguridad Publica en Materia de Mando Policial (SPA).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para los Servicios de Salud (FASSA).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Metropolitano, Zona Mexicali.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Metropolitano, Zona Tijuana, Tecate y Playas de Rosarito.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Aportaciones para la Infraestructura Social Estatal (FAISE).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Escuelas de Tiempo Completo (PETC).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Nacional de Prevención al Delito (PRONAPRED).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Subsidio para la Implementación de la Reforma al Sistema de Justicia Penal, SETEC.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Apoyo para la Discapacidad (FOADIS).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Subsidios Federales para Organismos Descentralizados Estatales.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Carrera Docente, Universidades Públicas Estatales (UPES).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Instituciones Estatales de Cultura.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para Elevar la Calidad de la Educación Superior.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Expansión de la Oferta Educativa en Educación Media Superior y Superior.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lastRenderedPageBreak/>
              <w:t>Apoyos para Saneamiento Financiero y la Atención a Problemas Estructurales de las Universidades Públicas Estatales (UPES).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Cultura Física.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Deporte.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Sistema del Deporte de Alto Rendimiento.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Fortalecimiento de la Calidad en Instituciones Educativas.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para el Desarrollo Profesional Docente.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Régimen de Protección Social en Salud, Seguro Popular (REPSS).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Inclusión Social (PROSPERA, componente Salud).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Prevención y Atención contra las Adicciones.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Atención a Personas con Discapacidad.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para la Protección y el Desarrollo Integral de la Infancia.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Atención a Familias y Población Vulnerable.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Fortalecimiento a las Procuradurías de la Defensa del Menor y la Familia.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Programa de Desarrollo Comunitario "Comunidad Diferente".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Fondo de Pavimentación y Desarrollo Municipal.</w:t>
            </w:r>
          </w:p>
          <w:p w:rsidR="00EC613C" w:rsidRPr="00B01672" w:rsidRDefault="00EC613C" w:rsidP="00EC61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7"/>
                <w:szCs w:val="17"/>
              </w:rPr>
            </w:pPr>
            <w:r w:rsidRPr="00B01672">
              <w:rPr>
                <w:rFonts w:ascii="Arial Narrow" w:hAnsi="Arial Narrow" w:cs="Times New Roman"/>
                <w:sz w:val="17"/>
                <w:szCs w:val="17"/>
              </w:rPr>
              <w:t>Proyectos de Desarrollo Regional.</w:t>
            </w:r>
          </w:p>
          <w:p w:rsidR="00EC613C" w:rsidRPr="000131A6" w:rsidRDefault="00EC613C" w:rsidP="002139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EC613C" w:rsidRPr="000131A6" w:rsidRDefault="00EC613C" w:rsidP="00EC61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1B76E3" w:rsidRDefault="001B76E3"/>
    <w:sectPr w:rsidR="001B76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FE" w:rsidRDefault="004028FE" w:rsidP="00EC613C">
      <w:pPr>
        <w:spacing w:after="0" w:line="240" w:lineRule="auto"/>
      </w:pPr>
      <w:r>
        <w:separator/>
      </w:r>
    </w:p>
  </w:endnote>
  <w:endnote w:type="continuationSeparator" w:id="0">
    <w:p w:rsidR="004028FE" w:rsidRDefault="004028FE" w:rsidP="00E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546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404F" w:rsidRDefault="002C404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B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B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04F" w:rsidRDefault="002C4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FE" w:rsidRDefault="004028FE" w:rsidP="00EC613C">
      <w:pPr>
        <w:spacing w:after="0" w:line="240" w:lineRule="auto"/>
      </w:pPr>
      <w:r>
        <w:separator/>
      </w:r>
    </w:p>
  </w:footnote>
  <w:footnote w:type="continuationSeparator" w:id="0">
    <w:p w:rsidR="004028FE" w:rsidRDefault="004028FE" w:rsidP="00E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3C" w:rsidRDefault="00EC613C" w:rsidP="00EC613C">
    <w:pPr>
      <w:pStyle w:val="Encabezado"/>
      <w:jc w:val="right"/>
      <w:rPr>
        <w:rFonts w:ascii="Tahoma" w:hAnsi="Tahoma" w:cs="Tahoma"/>
        <w:b/>
        <w:i/>
        <w:color w:val="808080"/>
      </w:rPr>
    </w:pPr>
    <w:r>
      <w:rPr>
        <w:rFonts w:ascii="Tahoma" w:hAnsi="Tahoma" w:cs="Tahoma"/>
        <w:b/>
        <w:i/>
        <w:noProof/>
        <w:color w:val="808080"/>
      </w:rPr>
      <w:drawing>
        <wp:anchor distT="0" distB="0" distL="114300" distR="114300" simplePos="0" relativeHeight="251660288" behindDoc="0" locked="0" layoutInCell="1" allowOverlap="1" wp14:anchorId="74BC48E7" wp14:editId="7645BDCD">
          <wp:simplePos x="0" y="0"/>
          <wp:positionH relativeFrom="column">
            <wp:posOffset>1399539</wp:posOffset>
          </wp:positionH>
          <wp:positionV relativeFrom="paragraph">
            <wp:posOffset>-266700</wp:posOffset>
          </wp:positionV>
          <wp:extent cx="1452293" cy="5397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93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567">
      <w:rPr>
        <w:rFonts w:ascii="Tahoma" w:hAnsi="Tahoma" w:cs="Tahoma"/>
        <w:b/>
        <w:i/>
        <w:noProof/>
        <w:color w:val="808080"/>
      </w:rPr>
      <w:drawing>
        <wp:anchor distT="0" distB="0" distL="114300" distR="114300" simplePos="0" relativeHeight="251659264" behindDoc="0" locked="0" layoutInCell="1" allowOverlap="1" wp14:anchorId="6C8F5349" wp14:editId="517B146D">
          <wp:simplePos x="0" y="0"/>
          <wp:positionH relativeFrom="column">
            <wp:posOffset>-92075</wp:posOffset>
          </wp:positionH>
          <wp:positionV relativeFrom="paragraph">
            <wp:posOffset>-451749</wp:posOffset>
          </wp:positionV>
          <wp:extent cx="1428750" cy="8077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808080"/>
      </w:rPr>
      <w:t>Gobierno</w:t>
    </w:r>
    <w:r w:rsidRPr="008F6567">
      <w:rPr>
        <w:rFonts w:ascii="Tahoma" w:hAnsi="Tahoma" w:cs="Tahoma"/>
        <w:b/>
        <w:i/>
        <w:color w:val="808080"/>
      </w:rPr>
      <w:t xml:space="preserve"> del Estado de Baja California</w:t>
    </w:r>
  </w:p>
  <w:p w:rsidR="00EC613C" w:rsidRDefault="00EC613C" w:rsidP="00EC613C">
    <w:pPr>
      <w:pStyle w:val="Encabezado"/>
      <w:jc w:val="right"/>
      <w:rPr>
        <w:rFonts w:ascii="Tahoma" w:hAnsi="Tahoma" w:cs="Tahoma"/>
        <w:b/>
        <w:i/>
        <w:color w:val="808080"/>
      </w:rPr>
    </w:pPr>
    <w:r>
      <w:rPr>
        <w:rFonts w:ascii="Tahoma" w:hAnsi="Tahoma" w:cs="Tahoma"/>
        <w:b/>
        <w:i/>
        <w:color w:val="808080"/>
      </w:rPr>
      <w:t>Secretaría de Planeación y Finanzas</w:t>
    </w:r>
  </w:p>
  <w:p w:rsidR="00EC613C" w:rsidRPr="00EC613C" w:rsidRDefault="00EC613C" w:rsidP="00EC613C">
    <w:pPr>
      <w:pStyle w:val="Encabezado"/>
      <w:jc w:val="right"/>
      <w:rPr>
        <w:color w:val="17365D" w:themeColor="text2" w:themeShade="BF"/>
        <w:sz w:val="18"/>
      </w:rPr>
    </w:pPr>
    <w:r w:rsidRPr="00EC613C">
      <w:rPr>
        <w:rFonts w:ascii="Tahoma" w:hAnsi="Tahoma" w:cs="Tahoma"/>
        <w:b/>
        <w:i/>
        <w:color w:val="17365D" w:themeColor="text2" w:themeShade="BF"/>
        <w:sz w:val="18"/>
      </w:rPr>
      <w:t>Calendario de Evaluaciones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2EC3"/>
    <w:multiLevelType w:val="hybridMultilevel"/>
    <w:tmpl w:val="AD3C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6096"/>
    <w:multiLevelType w:val="hybridMultilevel"/>
    <w:tmpl w:val="6C8E03EE"/>
    <w:lvl w:ilvl="0" w:tplc="306E61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C"/>
    <w:rsid w:val="001B76E3"/>
    <w:rsid w:val="002008AD"/>
    <w:rsid w:val="002C404F"/>
    <w:rsid w:val="002E1634"/>
    <w:rsid w:val="00365F04"/>
    <w:rsid w:val="004028FE"/>
    <w:rsid w:val="00433F12"/>
    <w:rsid w:val="00A20B9D"/>
    <w:rsid w:val="00DE6B1B"/>
    <w:rsid w:val="00E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E201C-56B1-4C57-9779-4E253A34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3C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1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13C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nhideWhenUsed/>
    <w:rsid w:val="00E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613C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13C"/>
    <w:rPr>
      <w:rFonts w:eastAsiaTheme="minorEastAsia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EC613C"/>
    <w:pPr>
      <w:spacing w:after="0" w:line="240" w:lineRule="exact"/>
      <w:ind w:left="1008" w:hanging="432"/>
      <w:jc w:val="both"/>
    </w:pPr>
    <w:rPr>
      <w:rFonts w:ascii="Tahoma" w:eastAsia="MS Mincho" w:hAnsi="Tahoma" w:cs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C613C"/>
    <w:rPr>
      <w:rFonts w:ascii="Tahoma" w:eastAsia="MS Mincho" w:hAnsi="Tahoma" w:cs="Times New Roman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92B2-7619-4604-BAC5-F48CB72A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Policroniades   Alejandro</dc:creator>
  <cp:lastModifiedBy>Sergio Armando Bautista</cp:lastModifiedBy>
  <cp:revision>2</cp:revision>
  <cp:lastPrinted>2016-04-14T23:14:00Z</cp:lastPrinted>
  <dcterms:created xsi:type="dcterms:W3CDTF">2016-04-15T16:50:00Z</dcterms:created>
  <dcterms:modified xsi:type="dcterms:W3CDTF">2016-04-15T16:50:00Z</dcterms:modified>
</cp:coreProperties>
</file>